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小标宋" w:hAnsi="小标宋" w:eastAsia="小标宋" w:cs="小标宋"/>
          <w:b/>
          <w:bCs/>
          <w:sz w:val="28"/>
          <w:szCs w:val="28"/>
        </w:rPr>
      </w:pPr>
      <w:r>
        <w:rPr>
          <w:rFonts w:hint="eastAsia" w:ascii="小标宋" w:hAnsi="小标宋" w:eastAsia="小标宋" w:cs="小标宋"/>
          <w:b/>
          <w:bCs/>
          <w:sz w:val="28"/>
          <w:szCs w:val="28"/>
        </w:rPr>
        <w:t>“华为ICT大赛2021/2022-行业赛”长安大学站</w:t>
      </w:r>
    </w:p>
    <w:p>
      <w:pPr>
        <w:spacing w:line="560" w:lineRule="exact"/>
        <w:ind w:firstLine="640" w:firstLineChars="200"/>
        <w:rPr>
          <w:rFonts w:ascii="仿宋_GB2312" w:hAnsi="黑体" w:eastAsia="仿宋_GB2312" w:cs="黑体"/>
          <w:sz w:val="32"/>
          <w:szCs w:val="32"/>
        </w:rPr>
      </w:pP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华为ICT大赛”是由华为技术有限公司举办、面向全球大学生的竞赛交流平台。大赛旨在提升大学生的实践动手能力和综合运用ICT（信息与通信）技术解决实际工程问题的创新能力，进而助力高校人才培养，持续为ICT产业输送优质人才。2021年3月，华为ICT大赛首次纳入2020全国普通高校大学生竞赛排行榜内竞赛项目名单，代表华为ICT大赛成为</w:t>
      </w:r>
      <w:r>
        <w:rPr>
          <w:rFonts w:hint="eastAsia" w:ascii="仿宋_GB2312" w:hAnsi="黑体" w:eastAsia="仿宋_GB2312" w:cs="黑体"/>
          <w:b w:val="0"/>
          <w:bCs/>
          <w:sz w:val="32"/>
          <w:szCs w:val="32"/>
        </w:rPr>
        <w:t>中国高等教育学会</w:t>
      </w:r>
      <w:r>
        <w:rPr>
          <w:rFonts w:hint="eastAsia" w:ascii="仿宋_GB2312" w:hAnsi="黑体" w:eastAsia="仿宋_GB2312" w:cs="黑体"/>
          <w:sz w:val="32"/>
          <w:szCs w:val="32"/>
        </w:rPr>
        <w:t>认可的含金量高、参赛价值大的竞赛项目之一。</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华为ICT大赛—行业赛”是本届大赛组委会首次设立的赛道，其以特定行业中面临的典型问题为参赛命题，主要考察学生对行业的理解力和运用各类技术解决行业问题的综合能力，鼓励在相关领域有研究基础的学生团队在教师指导下交叉应用行业知识和ICT技术提出创新的、可行性高的解决方案，详细赛事介绍可见：</w:t>
      </w:r>
      <w:r>
        <w:fldChar w:fldCharType="begin"/>
      </w:r>
      <w:r>
        <w:instrText xml:space="preserve"> HYPERLINK "https://mp.weixin.qq.com/s/sqvyRBMTfPu3lHC_4A6cDg" </w:instrText>
      </w:r>
      <w:r>
        <w:fldChar w:fldCharType="separate"/>
      </w:r>
      <w:r>
        <w:rPr>
          <w:rStyle w:val="9"/>
          <w:rFonts w:ascii="仿宋_GB2312" w:hAnsi="黑体" w:eastAsia="仿宋_GB2312" w:cs="黑体"/>
          <w:sz w:val="32"/>
          <w:szCs w:val="32"/>
        </w:rPr>
        <w:t>https://mp.weixin.qq.com/s/sqvyRBMTfPu3lHC_4A6cDg</w:t>
      </w:r>
      <w:r>
        <w:rPr>
          <w:rStyle w:val="9"/>
          <w:rFonts w:ascii="仿宋_GB2312" w:hAnsi="黑体" w:eastAsia="仿宋_GB2312" w:cs="黑体"/>
          <w:sz w:val="32"/>
          <w:szCs w:val="32"/>
        </w:rPr>
        <w:fldChar w:fldCharType="end"/>
      </w:r>
      <w:r>
        <w:rPr>
          <w:rFonts w:hint="eastAsia" w:ascii="仿宋_GB2312" w:hAnsi="黑体" w:eastAsia="仿宋_GB2312" w:cs="黑体"/>
          <w:sz w:val="32"/>
          <w:szCs w:val="32"/>
        </w:rPr>
        <w:t>。</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本届“华为ICT大赛—行业赛”长安大学站赛事由</w:t>
      </w:r>
      <w:r>
        <w:rPr>
          <w:rFonts w:hint="eastAsia" w:ascii="仿宋_GB2312" w:hAnsi="黑体" w:eastAsia="仿宋_GB2312" w:cs="黑体"/>
          <w:b w:val="0"/>
          <w:bCs/>
          <w:sz w:val="32"/>
          <w:szCs w:val="32"/>
        </w:rPr>
        <w:t>长安大学教务处</w:t>
      </w:r>
      <w:r>
        <w:rPr>
          <w:rFonts w:hint="eastAsia" w:ascii="仿宋_GB2312" w:hAnsi="黑体" w:eastAsia="仿宋_GB2312" w:cs="黑体"/>
          <w:b w:val="0"/>
          <w:bCs/>
          <w:sz w:val="32"/>
          <w:szCs w:val="32"/>
          <w:lang w:val="en-US" w:eastAsia="zh-CN"/>
        </w:rPr>
        <w:t>主办，</w:t>
      </w:r>
      <w:r>
        <w:rPr>
          <w:rFonts w:hint="eastAsia" w:ascii="仿宋_GB2312" w:hAnsi="黑体" w:eastAsia="仿宋_GB2312" w:cs="黑体"/>
          <w:sz w:val="32"/>
          <w:szCs w:val="32"/>
        </w:rPr>
        <w:t>未来交通学院</w:t>
      </w:r>
      <w:r>
        <w:rPr>
          <w:rFonts w:hint="eastAsia" w:ascii="仿宋_GB2312" w:hAnsi="黑体" w:eastAsia="仿宋_GB2312" w:cs="黑体"/>
          <w:sz w:val="32"/>
          <w:szCs w:val="32"/>
          <w:lang w:val="en-US" w:eastAsia="zh-CN"/>
        </w:rPr>
        <w:t>承办</w:t>
      </w:r>
      <w:r>
        <w:rPr>
          <w:rFonts w:hint="eastAsia" w:ascii="仿宋_GB2312" w:hAnsi="黑体" w:eastAsia="仿宋_GB2312" w:cs="黑体"/>
          <w:sz w:val="32"/>
          <w:szCs w:val="32"/>
        </w:rPr>
        <w:t>。</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1.参赛要求：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参赛对象要求：须为我校在读本科生、研究生，且2022年6月30日之前为在读状态。</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 xml:space="preserve">参赛队伍要求：每支参赛队伍须由我校1名指导教师和不超过3名在校学生组成。 </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 xml:space="preserve">参赛作品要求：参赛提交的作品须与报名时所选的赛题保持一致。 </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2.参赛流程：</w:t>
      </w:r>
    </w:p>
    <w:p>
      <w:pPr>
        <w:spacing w:line="560" w:lineRule="exact"/>
        <w:rPr>
          <w:rFonts w:ascii="仿宋_GB2312" w:hAnsi="黑体" w:eastAsia="仿宋_GB2312" w:cs="黑体"/>
          <w:sz w:val="32"/>
          <w:szCs w:val="32"/>
        </w:rPr>
      </w:pPr>
    </w:p>
    <w:tbl>
      <w:tblPr>
        <w:tblStyle w:val="6"/>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2157"/>
        <w:gridCol w:w="274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tcPr>
          <w:p>
            <w:pPr>
              <w:pStyle w:val="4"/>
              <w:shd w:val="clear" w:color="auto" w:fill="FFFFFF"/>
              <w:autoSpaceDE w:val="0"/>
              <w:autoSpaceDN w:val="0"/>
              <w:adjustRightInd w:val="0"/>
              <w:spacing w:before="312" w:after="240" w:line="360" w:lineRule="auto"/>
              <w:jc w:val="center"/>
              <w:rPr>
                <w:rFonts w:ascii="微软雅黑" w:hAnsi="微软雅黑" w:eastAsia="微软雅黑"/>
                <w:b/>
                <w:bCs/>
                <w:color w:val="333333"/>
                <w:sz w:val="21"/>
              </w:rPr>
            </w:pPr>
            <w:r>
              <w:rPr>
                <w:rFonts w:hint="eastAsia" w:ascii="微软雅黑" w:hAnsi="微软雅黑" w:eastAsia="微软雅黑"/>
                <w:b/>
                <w:bCs/>
                <w:color w:val="333333"/>
                <w:sz w:val="21"/>
              </w:rPr>
              <w:t>参赛阶段</w:t>
            </w:r>
          </w:p>
        </w:tc>
        <w:tc>
          <w:tcPr>
            <w:tcW w:w="2157" w:type="dxa"/>
          </w:tcPr>
          <w:p>
            <w:pPr>
              <w:pStyle w:val="4"/>
              <w:shd w:val="clear" w:color="auto" w:fill="FFFFFF"/>
              <w:autoSpaceDE w:val="0"/>
              <w:autoSpaceDN w:val="0"/>
              <w:adjustRightInd w:val="0"/>
              <w:spacing w:before="312" w:after="240" w:line="360" w:lineRule="auto"/>
              <w:jc w:val="center"/>
              <w:rPr>
                <w:rFonts w:ascii="微软雅黑" w:hAnsi="微软雅黑" w:eastAsia="微软雅黑"/>
                <w:b/>
                <w:bCs/>
                <w:color w:val="333333"/>
                <w:sz w:val="21"/>
              </w:rPr>
            </w:pPr>
            <w:r>
              <w:rPr>
                <w:rFonts w:hint="eastAsia" w:ascii="微软雅黑" w:hAnsi="微软雅黑" w:eastAsia="微软雅黑"/>
                <w:b/>
                <w:bCs/>
                <w:color w:val="333333"/>
                <w:sz w:val="21"/>
              </w:rPr>
              <w:t>具体安排</w:t>
            </w:r>
          </w:p>
        </w:tc>
        <w:tc>
          <w:tcPr>
            <w:tcW w:w="2745" w:type="dxa"/>
          </w:tcPr>
          <w:p>
            <w:pPr>
              <w:pStyle w:val="4"/>
              <w:shd w:val="clear" w:color="auto" w:fill="FFFFFF"/>
              <w:autoSpaceDE w:val="0"/>
              <w:autoSpaceDN w:val="0"/>
              <w:adjustRightInd w:val="0"/>
              <w:spacing w:before="312" w:after="240" w:line="360" w:lineRule="auto"/>
              <w:jc w:val="center"/>
              <w:rPr>
                <w:rFonts w:ascii="微软雅黑" w:hAnsi="微软雅黑" w:eastAsia="微软雅黑"/>
                <w:b/>
                <w:bCs/>
                <w:color w:val="333333"/>
                <w:sz w:val="21"/>
              </w:rPr>
            </w:pPr>
            <w:r>
              <w:rPr>
                <w:rFonts w:hint="eastAsia" w:ascii="微软雅黑" w:hAnsi="微软雅黑" w:eastAsia="微软雅黑"/>
                <w:b/>
                <w:bCs/>
                <w:color w:val="333333"/>
                <w:sz w:val="21"/>
              </w:rPr>
              <w:t>起止时间</w:t>
            </w:r>
          </w:p>
        </w:tc>
        <w:tc>
          <w:tcPr>
            <w:tcW w:w="2955" w:type="dxa"/>
          </w:tcPr>
          <w:p>
            <w:pPr>
              <w:pStyle w:val="4"/>
              <w:shd w:val="clear" w:color="auto" w:fill="FFFFFF"/>
              <w:autoSpaceDE w:val="0"/>
              <w:autoSpaceDN w:val="0"/>
              <w:adjustRightInd w:val="0"/>
              <w:spacing w:before="312" w:after="240" w:line="360" w:lineRule="auto"/>
              <w:jc w:val="center"/>
              <w:rPr>
                <w:rFonts w:ascii="微软雅黑" w:hAnsi="微软雅黑" w:eastAsia="微软雅黑"/>
                <w:b/>
                <w:bCs/>
                <w:color w:val="333333"/>
                <w:sz w:val="21"/>
              </w:rPr>
            </w:pPr>
            <w:r>
              <w:rPr>
                <w:rFonts w:hint="eastAsia" w:ascii="微软雅黑" w:hAnsi="微软雅黑" w:eastAsia="微软雅黑"/>
                <w:b/>
                <w:bCs/>
                <w:color w:val="333333"/>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81" w:type="dxa"/>
            <w:vMerge w:val="restart"/>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报名阶段</w:t>
            </w: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参赛报名</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2月24日— 3月</w:t>
            </w:r>
            <w:r>
              <w:rPr>
                <w:rFonts w:ascii="仿宋" w:hAnsi="仿宋" w:eastAsia="仿宋" w:cs="仿宋"/>
                <w:bCs/>
                <w:color w:val="333333"/>
                <w:sz w:val="21"/>
              </w:rPr>
              <w:t>1</w:t>
            </w:r>
            <w:r>
              <w:rPr>
                <w:rFonts w:hint="eastAsia" w:ascii="仿宋" w:hAnsi="仿宋" w:eastAsia="仿宋" w:cs="仿宋"/>
                <w:bCs/>
                <w:color w:val="333333"/>
                <w:sz w:val="21"/>
                <w:lang w:val="en-US" w:eastAsia="zh-CN"/>
              </w:rPr>
              <w:t>9</w:t>
            </w:r>
            <w:r>
              <w:rPr>
                <w:rFonts w:hint="eastAsia" w:ascii="仿宋" w:hAnsi="仿宋" w:eastAsia="仿宋" w:cs="仿宋"/>
                <w:bCs/>
                <w:color w:val="333333"/>
                <w:sz w:val="21"/>
              </w:rPr>
              <w:t>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参赛队伍采用线上报名方式，并邮件提交</w:t>
            </w:r>
            <w:bookmarkStart w:id="0" w:name="_GoBack"/>
            <w:r>
              <w:rPr>
                <w:rFonts w:hint="eastAsia" w:ascii="仿宋" w:hAnsi="仿宋" w:eastAsia="仿宋" w:cs="仿宋"/>
                <w:b w:val="0"/>
                <w:bCs w:val="0"/>
                <w:color w:val="333333"/>
                <w:sz w:val="21"/>
              </w:rPr>
              <w:t>参赛申请表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资格审核</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3月21日— 3月23日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组委会按照大赛相关要求，审核参赛队伍报名资料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81" w:type="dxa"/>
            <w:vMerge w:val="restart"/>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初赛阶段</w:t>
            </w: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参赛队伍资源发放</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3月23日— 3月25日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为通过审核的参赛队伍发放华为云资源，提供赛题样本数据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参赛队伍培训</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3月26日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为参赛队伍进行专场培训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参赛作品设计与提交</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3月26日—5月27日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参赛队伍须在截止日期前提交设计完整的参赛作品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参赛作品评审</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5月28日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专家评委对参赛作品进行初赛阶段评审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公布晋级决赛的队伍名单</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5月30日</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公布通过初赛评审的晋级队伍名单，获取决赛资格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restart"/>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决赛阶段</w:t>
            </w: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决赛作品提交</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6月上旬</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晋级决赛的队伍提交决赛作品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决赛作品答辩</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6月中旬</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决赛作品展示、参赛队伍答辩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81" w:type="dxa"/>
            <w:vMerge w:val="continue"/>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p>
        </w:tc>
        <w:tc>
          <w:tcPr>
            <w:tcW w:w="2157"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决赛颁奖</w:t>
            </w:r>
          </w:p>
        </w:tc>
        <w:tc>
          <w:tcPr>
            <w:tcW w:w="274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6月下旬</w:t>
            </w:r>
          </w:p>
        </w:tc>
        <w:tc>
          <w:tcPr>
            <w:tcW w:w="2955" w:type="dxa"/>
          </w:tcPr>
          <w:p>
            <w:pPr>
              <w:pStyle w:val="4"/>
              <w:shd w:val="clear" w:color="auto" w:fill="FFFFFF"/>
              <w:autoSpaceDE w:val="0"/>
              <w:autoSpaceDN w:val="0"/>
              <w:adjustRightInd w:val="0"/>
              <w:spacing w:before="312" w:after="240" w:line="360" w:lineRule="auto"/>
              <w:jc w:val="center"/>
              <w:rPr>
                <w:rFonts w:ascii="仿宋" w:hAnsi="仿宋" w:eastAsia="仿宋" w:cs="仿宋"/>
                <w:bCs/>
                <w:color w:val="333333"/>
                <w:sz w:val="21"/>
              </w:rPr>
            </w:pPr>
            <w:r>
              <w:rPr>
                <w:rFonts w:hint="eastAsia" w:ascii="仿宋" w:hAnsi="仿宋" w:eastAsia="仿宋" w:cs="仿宋"/>
                <w:bCs/>
                <w:color w:val="333333"/>
                <w:sz w:val="21"/>
              </w:rPr>
              <w:t>各级奖项颁发</w:t>
            </w:r>
          </w:p>
        </w:tc>
      </w:tr>
    </w:tbl>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3.赛题说明</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（1）赛题说明</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本次华为ICT大赛-行业赛共设置3个参赛赛题，具体如下：</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①大货车右转不停车违法检测。</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②干线高密度分合流区交通流仿真及优化。</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③路面病害智能识别。</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参赛队伍可任选一道赛题参与，提交报名成功后，参赛赛题将不可更改，详细要求请参照大赛报名平台——《赛题说明与解读》。</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（2）技术支持</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报名审核通过后，华为ICT大赛组委会将提供华为云资源，组织专场培训。</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（3）参赛作品要求</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参赛队伍提交的作品须包含一份完整的解决方案设计报告、一个解决问题的算法实现工具（包含配置及运行说明）。</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参赛作品不得包含违反国家法律法规的内容，不得包含涉及与性别、国籍、宗教等相关的歧视性内容，不得侵犯他人隐私。</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禁止参赛队伍将其他赛事作品在不加任何改进的状态下提交参赛，如有违反，取消参赛资格。</w:t>
      </w:r>
    </w:p>
    <w:p>
      <w:pPr>
        <w:ind w:firstLine="640" w:firstLineChars="200"/>
        <w:rPr>
          <w:rFonts w:ascii="微软雅黑" w:hAnsi="微软雅黑" w:eastAsia="微软雅黑"/>
          <w:sz w:val="2"/>
        </w:rPr>
      </w:pPr>
      <w:r>
        <w:rPr>
          <w:rFonts w:hint="eastAsia" w:ascii="仿宋_GB2312" w:hAnsi="黑体" w:eastAsia="仿宋_GB2312" w:cs="黑体"/>
          <w:sz w:val="32"/>
          <w:szCs w:val="32"/>
        </w:rPr>
        <w:t>（4）参赛材料</w:t>
      </w:r>
    </w:p>
    <w:tbl>
      <w:tblPr>
        <w:tblStyle w:val="5"/>
        <w:tblW w:w="9118" w:type="dxa"/>
        <w:tblInd w:w="0" w:type="dxa"/>
        <w:tblLayout w:type="autofit"/>
        <w:tblCellMar>
          <w:top w:w="0" w:type="dxa"/>
          <w:left w:w="0" w:type="dxa"/>
          <w:bottom w:w="0" w:type="dxa"/>
          <w:right w:w="0" w:type="dxa"/>
        </w:tblCellMar>
      </w:tblPr>
      <w:tblGrid>
        <w:gridCol w:w="1197"/>
        <w:gridCol w:w="2255"/>
        <w:gridCol w:w="2047"/>
        <w:gridCol w:w="1888"/>
        <w:gridCol w:w="1731"/>
      </w:tblGrid>
      <w:tr>
        <w:tblPrEx>
          <w:tblCellMar>
            <w:top w:w="0" w:type="dxa"/>
            <w:left w:w="0" w:type="dxa"/>
            <w:bottom w:w="0" w:type="dxa"/>
            <w:right w:w="0" w:type="dxa"/>
          </w:tblCellMar>
        </w:tblPrEx>
        <w:trPr>
          <w:trHeight w:val="572" w:hRule="atLeast"/>
        </w:trPr>
        <w:tc>
          <w:tcPr>
            <w:tcW w:w="119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
                <w:szCs w:val="21"/>
              </w:rPr>
            </w:pPr>
            <w:r>
              <w:rPr>
                <w:rFonts w:hint="eastAsia" w:ascii="仿宋" w:hAnsi="仿宋" w:eastAsia="仿宋" w:cs="仿宋"/>
                <w:b/>
                <w:bCs/>
                <w:kern w:val="24"/>
                <w:szCs w:val="21"/>
              </w:rPr>
              <w:t>提交内容</w:t>
            </w:r>
          </w:p>
        </w:tc>
        <w:tc>
          <w:tcPr>
            <w:tcW w:w="2255"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
                <w:szCs w:val="21"/>
              </w:rPr>
            </w:pPr>
            <w:r>
              <w:rPr>
                <w:rFonts w:hint="eastAsia" w:ascii="仿宋" w:hAnsi="仿宋" w:eastAsia="仿宋" w:cs="仿宋"/>
                <w:b/>
                <w:bCs/>
                <w:kern w:val="24"/>
                <w:szCs w:val="21"/>
              </w:rPr>
              <w:t>参赛申请表</w:t>
            </w:r>
          </w:p>
        </w:tc>
        <w:tc>
          <w:tcPr>
            <w:tcW w:w="204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
                <w:szCs w:val="21"/>
              </w:rPr>
            </w:pPr>
            <w:r>
              <w:rPr>
                <w:rFonts w:hint="eastAsia" w:ascii="仿宋" w:hAnsi="仿宋" w:eastAsia="仿宋" w:cs="仿宋"/>
                <w:b/>
                <w:bCs/>
                <w:kern w:val="24"/>
                <w:szCs w:val="21"/>
              </w:rPr>
              <w:t>参赛作品成果</w:t>
            </w:r>
          </w:p>
        </w:tc>
        <w:tc>
          <w:tcPr>
            <w:tcW w:w="1888"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
                <w:szCs w:val="21"/>
              </w:rPr>
            </w:pPr>
            <w:r>
              <w:rPr>
                <w:rFonts w:hint="eastAsia" w:ascii="仿宋" w:hAnsi="仿宋" w:eastAsia="仿宋" w:cs="仿宋"/>
                <w:b/>
                <w:bCs/>
                <w:kern w:val="24"/>
                <w:szCs w:val="21"/>
              </w:rPr>
              <w:t>答辩文件</w:t>
            </w:r>
          </w:p>
        </w:tc>
        <w:tc>
          <w:tcPr>
            <w:tcW w:w="1731"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
                <w:szCs w:val="21"/>
              </w:rPr>
            </w:pPr>
            <w:r>
              <w:rPr>
                <w:rFonts w:hint="eastAsia" w:ascii="仿宋" w:hAnsi="仿宋" w:eastAsia="仿宋" w:cs="仿宋"/>
                <w:b/>
                <w:bCs/>
                <w:kern w:val="24"/>
                <w:szCs w:val="21"/>
              </w:rPr>
              <w:t>演示视频</w:t>
            </w:r>
          </w:p>
        </w:tc>
      </w:tr>
      <w:tr>
        <w:tblPrEx>
          <w:tblCellMar>
            <w:top w:w="0" w:type="dxa"/>
            <w:left w:w="0" w:type="dxa"/>
            <w:bottom w:w="0" w:type="dxa"/>
            <w:right w:w="0" w:type="dxa"/>
          </w:tblCellMar>
        </w:tblPrEx>
        <w:trPr>
          <w:trHeight w:val="449" w:hRule="atLeast"/>
        </w:trPr>
        <w:tc>
          <w:tcPr>
            <w:tcW w:w="119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bCs/>
                <w:color w:val="000000" w:themeColor="text1"/>
                <w:kern w:val="24"/>
                <w:szCs w:val="21"/>
                <w14:textFill>
                  <w14:solidFill>
                    <w14:schemeClr w14:val="tx1"/>
                  </w14:solidFill>
                </w14:textFill>
              </w:rPr>
              <w:t>格式</w:t>
            </w:r>
          </w:p>
        </w:tc>
        <w:tc>
          <w:tcPr>
            <w:tcW w:w="2255"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Word文本</w:t>
            </w:r>
          </w:p>
        </w:tc>
        <w:tc>
          <w:tcPr>
            <w:tcW w:w="204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Word文本/算法工具</w:t>
            </w:r>
          </w:p>
        </w:tc>
        <w:tc>
          <w:tcPr>
            <w:tcW w:w="1888"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PPT/PDF</w:t>
            </w:r>
          </w:p>
        </w:tc>
        <w:tc>
          <w:tcPr>
            <w:tcW w:w="1731"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Video</w:t>
            </w:r>
          </w:p>
        </w:tc>
      </w:tr>
      <w:tr>
        <w:tblPrEx>
          <w:tblCellMar>
            <w:top w:w="0" w:type="dxa"/>
            <w:left w:w="0" w:type="dxa"/>
            <w:bottom w:w="0" w:type="dxa"/>
            <w:right w:w="0" w:type="dxa"/>
          </w:tblCellMar>
        </w:tblPrEx>
        <w:trPr>
          <w:trHeight w:val="600" w:hRule="atLeast"/>
        </w:trPr>
        <w:tc>
          <w:tcPr>
            <w:tcW w:w="119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bCs/>
                <w:color w:val="000000" w:themeColor="text1"/>
                <w:kern w:val="24"/>
                <w:szCs w:val="21"/>
                <w14:textFill>
                  <w14:solidFill>
                    <w14:schemeClr w14:val="tx1"/>
                  </w14:solidFill>
                </w14:textFill>
              </w:rPr>
              <w:t>要求</w:t>
            </w:r>
          </w:p>
        </w:tc>
        <w:tc>
          <w:tcPr>
            <w:tcW w:w="2255"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参赛队伍和作品创意简介</w:t>
            </w:r>
          </w:p>
        </w:tc>
        <w:tc>
          <w:tcPr>
            <w:tcW w:w="204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方案设计报告和算法实现工具</w:t>
            </w:r>
          </w:p>
        </w:tc>
        <w:tc>
          <w:tcPr>
            <w:tcW w:w="1888"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决赛演示与答辩</w:t>
            </w:r>
          </w:p>
        </w:tc>
        <w:tc>
          <w:tcPr>
            <w:tcW w:w="1731"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szCs w:val="21"/>
              </w:rPr>
            </w:pPr>
            <w:r>
              <w:rPr>
                <w:rFonts w:hint="eastAsia" w:ascii="仿宋" w:hAnsi="仿宋" w:eastAsia="仿宋" w:cs="仿宋"/>
                <w:color w:val="000000" w:themeColor="text1"/>
                <w:kern w:val="24"/>
                <w:szCs w:val="21"/>
                <w14:textFill>
                  <w14:solidFill>
                    <w14:schemeClr w14:val="tx1"/>
                  </w14:solidFill>
                </w14:textFill>
              </w:rPr>
              <w:t>演示视频时长不超过3分钟</w:t>
            </w:r>
          </w:p>
        </w:tc>
      </w:tr>
      <w:tr>
        <w:tblPrEx>
          <w:tblCellMar>
            <w:top w:w="0" w:type="dxa"/>
            <w:left w:w="0" w:type="dxa"/>
            <w:bottom w:w="0" w:type="dxa"/>
            <w:right w:w="0" w:type="dxa"/>
          </w:tblCellMar>
        </w:tblPrEx>
        <w:trPr>
          <w:trHeight w:val="538" w:hRule="atLeast"/>
        </w:trPr>
        <w:tc>
          <w:tcPr>
            <w:tcW w:w="1197"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bCs/>
                <w:color w:val="000000" w:themeColor="text1"/>
                <w:kern w:val="24"/>
                <w:szCs w:val="21"/>
                <w14:textFill>
                  <w14:solidFill>
                    <w14:schemeClr w14:val="tx1"/>
                  </w14:solidFill>
                </w14:textFill>
              </w:rPr>
            </w:pPr>
            <w:r>
              <w:rPr>
                <w:rFonts w:hint="eastAsia" w:ascii="仿宋" w:hAnsi="仿宋" w:eastAsia="仿宋" w:cs="仿宋"/>
                <w:bCs/>
                <w:color w:val="000000" w:themeColor="text1"/>
                <w:kern w:val="24"/>
                <w:szCs w:val="21"/>
                <w14:textFill>
                  <w14:solidFill>
                    <w14:schemeClr w14:val="tx1"/>
                  </w14:solidFill>
                </w14:textFill>
              </w:rPr>
              <w:t>说明</w:t>
            </w:r>
          </w:p>
        </w:tc>
        <w:tc>
          <w:tcPr>
            <w:tcW w:w="2255" w:type="dxa"/>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color w:val="000000" w:themeColor="text1"/>
                <w:kern w:val="24"/>
                <w:szCs w:val="21"/>
                <w14:textFill>
                  <w14:solidFill>
                    <w14:schemeClr w14:val="tx1"/>
                  </w14:solidFill>
                </w14:textFill>
              </w:rPr>
            </w:pPr>
            <w:r>
              <w:rPr>
                <w:rFonts w:hint="eastAsia" w:ascii="仿宋" w:hAnsi="仿宋" w:eastAsia="仿宋" w:cs="仿宋"/>
                <w:color w:val="000000" w:themeColor="text1"/>
                <w:kern w:val="24"/>
                <w:szCs w:val="21"/>
                <w14:textFill>
                  <w14:solidFill>
                    <w14:schemeClr w14:val="tx1"/>
                  </w14:solidFill>
                </w14:textFill>
              </w:rPr>
              <w:t>参赛报名阶段提交</w:t>
            </w:r>
          </w:p>
        </w:tc>
        <w:tc>
          <w:tcPr>
            <w:tcW w:w="5666" w:type="dxa"/>
            <w:gridSpan w:val="3"/>
            <w:tcBorders>
              <w:top w:val="single" w:color="1D1D1A" w:sz="8" w:space="0"/>
              <w:left w:val="single" w:color="1D1D1A" w:sz="8" w:space="0"/>
              <w:bottom w:val="single" w:color="1D1D1A" w:sz="8" w:space="0"/>
              <w:right w:val="single" w:color="1D1D1A" w:sz="8" w:space="0"/>
            </w:tcBorders>
            <w:shd w:val="clear" w:color="auto" w:fill="auto"/>
            <w:tcMar>
              <w:top w:w="15" w:type="dxa"/>
              <w:left w:w="108" w:type="dxa"/>
              <w:bottom w:w="0" w:type="dxa"/>
              <w:right w:w="108" w:type="dxa"/>
            </w:tcMar>
            <w:vAlign w:val="center"/>
          </w:tcPr>
          <w:p>
            <w:pPr>
              <w:widowControl/>
              <w:jc w:val="center"/>
              <w:rPr>
                <w:rFonts w:ascii="仿宋" w:hAnsi="仿宋" w:eastAsia="仿宋" w:cs="仿宋"/>
                <w:color w:val="000000" w:themeColor="text1"/>
                <w:kern w:val="24"/>
                <w:szCs w:val="21"/>
                <w14:textFill>
                  <w14:solidFill>
                    <w14:schemeClr w14:val="tx1"/>
                  </w14:solidFill>
                </w14:textFill>
              </w:rPr>
            </w:pPr>
            <w:r>
              <w:rPr>
                <w:rFonts w:hint="eastAsia" w:ascii="仿宋" w:hAnsi="仿宋" w:eastAsia="仿宋" w:cs="仿宋"/>
                <w:color w:val="000000" w:themeColor="text1"/>
                <w:kern w:val="24"/>
                <w:szCs w:val="21"/>
                <w14:textFill>
                  <w14:solidFill>
                    <w14:schemeClr w14:val="tx1"/>
                  </w14:solidFill>
                </w14:textFill>
              </w:rPr>
              <w:t>初赛/决赛作品提交阶段提交</w:t>
            </w:r>
          </w:p>
        </w:tc>
      </w:tr>
    </w:tbl>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（5）知识产权</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参赛者提交的作品不得侵犯第三方的任何著作权、商标权或其他权利，凡涉及抄袭、剽窃等行为，均由参赛者本人承担一切法律后果。</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所有作品的知识产权归参赛者所有，参赛者同意无偿提供并授予大赛组委会包括但不限于以下权利：参赛作品的复制、发行（纸质及数字）、展览展示、教学培训、放映、信息传播、宣传等。</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4.决赛评审流程与标准</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（1）评审流程</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决赛采用“演示+答辩”的方式进行评审，其中演示时长不超过10分钟，回答评审组专家提问时长不超过5分钟。</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决赛答辩顺序将通过抽签方式决定，抽签活动将于决赛前一周进行。</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（2）评审标准</w:t>
      </w:r>
    </w:p>
    <w:tbl>
      <w:tblPr>
        <w:tblStyle w:val="5"/>
        <w:tblW w:w="927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101"/>
        <w:gridCol w:w="1573"/>
        <w:gridCol w:w="786"/>
        <w:gridCol w:w="581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2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b/>
                <w:bCs/>
                <w:kern w:val="0"/>
                <w:szCs w:val="21"/>
                <w:lang w:bidi="ar"/>
              </w:rPr>
              <w:t>评审内容</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b/>
                <w:bCs/>
                <w:kern w:val="0"/>
                <w:szCs w:val="21"/>
                <w:lang w:bidi="ar"/>
              </w:rPr>
              <w:t>分值</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b/>
                <w:bCs/>
                <w:kern w:val="0"/>
                <w:szCs w:val="21"/>
                <w:lang w:bidi="ar"/>
              </w:rPr>
              <w:t>评审标准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8" w:hRule="atLeast"/>
        </w:trPr>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方案设计</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完备性</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30</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方案能解决赛题对应场景的实际问题，提供完整准确的业务逻辑梳理与流程设计；</w:t>
            </w:r>
          </w:p>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综合考虑待解决问题的各个方面，对各种可能出现的问题都有完备的应对方案。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4" w:hRule="atLeast"/>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Cs w:val="21"/>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创新性</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15</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方案在业务逻辑梳理、模型抽象、流程设计等方面具有一定突破和创新，且行业内无知名同类方案。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67" w:hRule="atLeast"/>
        </w:trPr>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算法实现</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完备性及性能</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30</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能够根据设计方案，设计合理的算法模型并编码实现；</w:t>
            </w:r>
          </w:p>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算法能够稳定运行（不产生bug崩溃），快速输出分析计算结果（单次分析小于15min）。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9" w:hRule="atLeast"/>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Cs w:val="21"/>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技术复杂性</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15</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能综合运用华为提供的资源和平台，融合多项ICT技术，并对方案产生较大价值。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5"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答辩表现</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答辩表现</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beforeAutospacing="1" w:afterAutospacing="1"/>
              <w:jc w:val="center"/>
              <w:rPr>
                <w:rFonts w:ascii="仿宋" w:hAnsi="仿宋" w:eastAsia="仿宋" w:cs="仿宋"/>
                <w:szCs w:val="21"/>
              </w:rPr>
            </w:pPr>
            <w:r>
              <w:rPr>
                <w:rFonts w:hint="eastAsia" w:ascii="仿宋" w:hAnsi="仿宋" w:eastAsia="仿宋" w:cs="仿宋"/>
                <w:kern w:val="0"/>
                <w:szCs w:val="21"/>
                <w:lang w:bidi="ar"/>
              </w:rPr>
              <w:t>10</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beforeAutospacing="1" w:afterAutospacing="1"/>
              <w:jc w:val="left"/>
              <w:rPr>
                <w:rFonts w:ascii="仿宋" w:hAnsi="仿宋" w:eastAsia="仿宋" w:cs="仿宋"/>
                <w:szCs w:val="21"/>
              </w:rPr>
            </w:pPr>
            <w:r>
              <w:rPr>
                <w:rFonts w:hint="eastAsia" w:ascii="仿宋" w:hAnsi="仿宋" w:eastAsia="仿宋" w:cs="仿宋"/>
                <w:kern w:val="0"/>
                <w:szCs w:val="21"/>
                <w:lang w:bidi="ar"/>
              </w:rPr>
              <w:t>演示正常，观点清晰，表述流畅，能准确回答评委提问。</w:t>
            </w:r>
          </w:p>
        </w:tc>
      </w:tr>
    </w:tbl>
    <w:p>
      <w:pPr>
        <w:pStyle w:val="4"/>
        <w:shd w:val="clear" w:color="auto" w:fill="FFFFFF"/>
        <w:spacing w:before="312" w:beforeAutospacing="0" w:after="240" w:afterAutospacing="0"/>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华为ICT大赛2021/2022-行业赛决赛最终排名将依照综合得分数从高至低依次排序。</w:t>
      </w:r>
    </w:p>
    <w:p>
      <w:pPr>
        <w:pStyle w:val="4"/>
        <w:shd w:val="clear" w:color="auto" w:fill="FFFFFF"/>
        <w:spacing w:before="312" w:beforeAutospacing="0" w:after="240" w:afterAutospacing="0"/>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5.决赛奖项与奖金设置</w:t>
      </w:r>
    </w:p>
    <w:tbl>
      <w:tblPr>
        <w:tblStyle w:val="5"/>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3042"/>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26" w:type="dxa"/>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决赛奖项设置</w:t>
            </w:r>
          </w:p>
        </w:tc>
        <w:tc>
          <w:tcPr>
            <w:tcW w:w="3042" w:type="dxa"/>
            <w:shd w:val="clear" w:color="auto" w:fill="auto"/>
            <w:vAlign w:val="center"/>
          </w:tcPr>
          <w:p>
            <w:pPr>
              <w:widowControl/>
              <w:jc w:val="center"/>
              <w:rPr>
                <w:rFonts w:ascii="仿宋" w:hAnsi="仿宋" w:eastAsia="仿宋" w:cs="仿宋"/>
                <w:b/>
                <w:bCs/>
                <w:szCs w:val="21"/>
              </w:rPr>
            </w:pPr>
            <w:r>
              <w:rPr>
                <w:rFonts w:hint="eastAsia" w:ascii="仿宋" w:hAnsi="仿宋" w:eastAsia="仿宋" w:cs="仿宋"/>
                <w:b/>
                <w:bCs/>
                <w:szCs w:val="21"/>
              </w:rPr>
              <w:t>获奖队伍名额（队）</w:t>
            </w:r>
          </w:p>
        </w:tc>
        <w:tc>
          <w:tcPr>
            <w:tcW w:w="2331" w:type="dxa"/>
            <w:vAlign w:val="center"/>
          </w:tcPr>
          <w:p>
            <w:pPr>
              <w:widowControl/>
              <w:jc w:val="center"/>
              <w:rPr>
                <w:rFonts w:ascii="仿宋" w:hAnsi="仿宋" w:eastAsia="仿宋" w:cs="仿宋"/>
                <w:b/>
                <w:bCs/>
                <w:szCs w:val="21"/>
              </w:rPr>
            </w:pPr>
            <w:r>
              <w:rPr>
                <w:rFonts w:hint="eastAsia" w:ascii="仿宋" w:hAnsi="仿宋" w:eastAsia="仿宋" w:cs="仿宋"/>
                <w:b/>
                <w:bCs/>
                <w:szCs w:val="21"/>
              </w:rPr>
              <w:t>奖金设置（RMB万/队）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726"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特等奖</w:t>
            </w:r>
          </w:p>
        </w:tc>
        <w:tc>
          <w:tcPr>
            <w:tcW w:w="3042"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31" w:type="dxa"/>
            <w:vAlign w:val="center"/>
          </w:tcPr>
          <w:p>
            <w:pPr>
              <w:widowControl/>
              <w:jc w:val="center"/>
              <w:rPr>
                <w:rFonts w:ascii="仿宋" w:hAnsi="仿宋" w:eastAsia="仿宋" w:cs="仿宋"/>
                <w:bCs/>
                <w:szCs w:val="21"/>
              </w:rPr>
            </w:pPr>
            <w:r>
              <w:rPr>
                <w:rFonts w:hint="eastAsia" w:ascii="仿宋" w:hAnsi="仿宋" w:eastAsia="仿宋" w:cs="仿宋"/>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726"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一等奖</w:t>
            </w:r>
          </w:p>
        </w:tc>
        <w:tc>
          <w:tcPr>
            <w:tcW w:w="3042"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2</w:t>
            </w:r>
          </w:p>
        </w:tc>
        <w:tc>
          <w:tcPr>
            <w:tcW w:w="2331" w:type="dxa"/>
            <w:vAlign w:val="center"/>
          </w:tcPr>
          <w:p>
            <w:pPr>
              <w:widowControl/>
              <w:jc w:val="center"/>
              <w:rPr>
                <w:rFonts w:ascii="仿宋" w:hAnsi="仿宋" w:eastAsia="仿宋" w:cs="仿宋"/>
                <w:bCs/>
                <w:szCs w:val="21"/>
              </w:rPr>
            </w:pPr>
            <w:r>
              <w:rPr>
                <w:rFonts w:hint="eastAsia" w:ascii="仿宋" w:hAnsi="仿宋" w:eastAsia="仿宋" w:cs="仿宋"/>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726"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二等奖</w:t>
            </w:r>
          </w:p>
        </w:tc>
        <w:tc>
          <w:tcPr>
            <w:tcW w:w="3042"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3</w:t>
            </w:r>
          </w:p>
        </w:tc>
        <w:tc>
          <w:tcPr>
            <w:tcW w:w="2331" w:type="dxa"/>
            <w:vAlign w:val="center"/>
          </w:tcPr>
          <w:p>
            <w:pPr>
              <w:widowControl/>
              <w:jc w:val="center"/>
              <w:rPr>
                <w:rFonts w:ascii="仿宋" w:hAnsi="仿宋" w:eastAsia="仿宋" w:cs="仿宋"/>
                <w:bCs/>
                <w:szCs w:val="21"/>
              </w:rPr>
            </w:pPr>
            <w:r>
              <w:rPr>
                <w:rFonts w:hint="eastAsia" w:ascii="仿宋" w:hAnsi="仿宋" w:eastAsia="仿宋" w:cs="仿宋"/>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726"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三等奖</w:t>
            </w:r>
          </w:p>
        </w:tc>
        <w:tc>
          <w:tcPr>
            <w:tcW w:w="3042" w:type="dxa"/>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4</w:t>
            </w:r>
          </w:p>
        </w:tc>
        <w:tc>
          <w:tcPr>
            <w:tcW w:w="2331" w:type="dxa"/>
            <w:vAlign w:val="center"/>
          </w:tcPr>
          <w:p>
            <w:pPr>
              <w:widowControl/>
              <w:jc w:val="center"/>
              <w:rPr>
                <w:rFonts w:ascii="仿宋" w:hAnsi="仿宋" w:eastAsia="仿宋" w:cs="仿宋"/>
                <w:bCs/>
                <w:szCs w:val="21"/>
              </w:rPr>
            </w:pPr>
            <w:r>
              <w:rPr>
                <w:rFonts w:hint="eastAsia" w:ascii="仿宋" w:hAnsi="仿宋" w:eastAsia="仿宋" w:cs="仿宋"/>
                <w:bCs/>
                <w:szCs w:val="21"/>
              </w:rPr>
              <w:t>0.2</w:t>
            </w:r>
          </w:p>
        </w:tc>
      </w:tr>
    </w:tbl>
    <w:p>
      <w:pPr>
        <w:ind w:firstLine="640" w:firstLineChars="200"/>
        <w:rPr>
          <w:rFonts w:ascii="仿宋_GB2312" w:hAnsi="黑体" w:eastAsia="仿宋_GB2312" w:cs="黑体"/>
          <w:sz w:val="32"/>
          <w:szCs w:val="32"/>
        </w:rPr>
      </w:pP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6.报名流程</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参赛队伍于2022年3月1</w:t>
      </w:r>
      <w:r>
        <w:rPr>
          <w:rFonts w:hint="eastAsia" w:ascii="仿宋_GB2312" w:hAnsi="黑体" w:eastAsia="仿宋_GB2312" w:cs="黑体"/>
          <w:sz w:val="32"/>
          <w:szCs w:val="32"/>
          <w:lang w:val="en-US" w:eastAsia="zh-CN"/>
        </w:rPr>
        <w:t>9</w:t>
      </w:r>
      <w:r>
        <w:rPr>
          <w:rFonts w:hint="eastAsia" w:ascii="仿宋_GB2312" w:hAnsi="黑体" w:eastAsia="仿宋_GB2312" w:cs="黑体"/>
          <w:sz w:val="32"/>
          <w:szCs w:val="32"/>
        </w:rPr>
        <w:t>日前将参赛申请表（见附件1）发送至邮箱：</w:t>
      </w:r>
      <w:r>
        <w:rPr>
          <w:rFonts w:hint="eastAsia" w:ascii="仿宋_GB2312" w:hAnsi="黑体" w:eastAsia="仿宋_GB2312" w:cs="黑体"/>
          <w:sz w:val="32"/>
          <w:szCs w:val="32"/>
          <w:lang w:val="en-US" w:eastAsia="zh-CN"/>
        </w:rPr>
        <w:t>gksyb@chd.edu.cn</w:t>
      </w:r>
      <w:r>
        <w:rPr>
          <w:rFonts w:hint="eastAsia" w:ascii="仿宋_GB2312" w:hAnsi="黑体" w:eastAsia="仿宋_GB2312" w:cs="黑体"/>
          <w:sz w:val="32"/>
          <w:szCs w:val="32"/>
        </w:rPr>
        <w:t>，邮件主题命名为：【华为ICT大赛长安大学站2021/2022-行业赛报名】XXX</w:t>
      </w:r>
      <w:r>
        <w:rPr>
          <w:rFonts w:hint="eastAsia" w:ascii="仿宋_GB2312" w:hAnsi="黑体" w:eastAsia="仿宋_GB2312" w:cs="黑体"/>
          <w:sz w:val="32"/>
          <w:szCs w:val="32"/>
          <w:lang w:val="en-US" w:eastAsia="zh-CN"/>
        </w:rPr>
        <w:t>学校+XXX学院</w:t>
      </w:r>
      <w:r>
        <w:rPr>
          <w:rFonts w:hint="eastAsia" w:ascii="仿宋_GB2312" w:hAnsi="黑体" w:eastAsia="仿宋_GB2312" w:cs="黑体"/>
          <w:sz w:val="32"/>
          <w:szCs w:val="32"/>
        </w:rPr>
        <w:t>+XXX队伍。</w:t>
      </w:r>
    </w:p>
    <w:p>
      <w:pPr>
        <w:ind w:firstLine="560" w:firstLineChars="200"/>
        <w:jc w:val="center"/>
        <w:rPr>
          <w:sz w:val="28"/>
          <w:szCs w:val="28"/>
        </w:rPr>
      </w:pPr>
      <w:r>
        <w:rPr>
          <w:rFonts w:hint="eastAsia"/>
          <w:sz w:val="28"/>
          <w:szCs w:val="28"/>
        </w:rPr>
        <w:t xml:space="preserve">                   </w:t>
      </w:r>
      <w:r>
        <w:rPr>
          <w:rFonts w:hint="eastAsia" w:ascii="仿宋_GB2312" w:hAnsi="黑体" w:eastAsia="仿宋_GB2312" w:cs="黑体"/>
          <w:sz w:val="32"/>
          <w:szCs w:val="32"/>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22C5"/>
    <w:rsid w:val="00653187"/>
    <w:rsid w:val="006C5AAB"/>
    <w:rsid w:val="008C0CBF"/>
    <w:rsid w:val="00B1101F"/>
    <w:rsid w:val="00BE523B"/>
    <w:rsid w:val="00C25204"/>
    <w:rsid w:val="00E93ECD"/>
    <w:rsid w:val="00EE2C1B"/>
    <w:rsid w:val="02CE2243"/>
    <w:rsid w:val="084026D3"/>
    <w:rsid w:val="118256E9"/>
    <w:rsid w:val="1E9503A3"/>
    <w:rsid w:val="25843B74"/>
    <w:rsid w:val="2D287BC3"/>
    <w:rsid w:val="39993FD9"/>
    <w:rsid w:val="3F7538CE"/>
    <w:rsid w:val="590C4208"/>
    <w:rsid w:val="5BE322C5"/>
    <w:rsid w:val="61187D5B"/>
    <w:rsid w:val="659D4E33"/>
    <w:rsid w:val="66D148B5"/>
    <w:rsid w:val="6BD07CB0"/>
    <w:rsid w:val="6DD536EF"/>
    <w:rsid w:val="6E946D5B"/>
    <w:rsid w:val="70873FA7"/>
    <w:rsid w:val="71F52EFE"/>
    <w:rsid w:val="75A071F0"/>
    <w:rsid w:val="770E068E"/>
    <w:rsid w:val="78016613"/>
    <w:rsid w:val="78BD0700"/>
    <w:rsid w:val="79FB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pPr>
    <w:rPr>
      <w:rFonts w:ascii="宋体" w:hAnsi="宋体" w:cs="宋体"/>
      <w:sz w:val="24"/>
    </w:rPr>
  </w:style>
  <w:style w:type="table" w:styleId="6">
    <w:name w:val="Table Grid"/>
    <w:basedOn w:val="5"/>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7"/>
    <w:link w:val="3"/>
    <w:qFormat/>
    <w:uiPriority w:val="0"/>
    <w:rPr>
      <w:rFonts w:asciiTheme="minorHAnsi" w:hAnsiTheme="minorHAnsi" w:eastAsiaTheme="minorEastAsia" w:cstheme="minorBidi"/>
      <w:kern w:val="2"/>
      <w:sz w:val="18"/>
      <w:szCs w:val="18"/>
    </w:rPr>
  </w:style>
  <w:style w:type="character" w:customStyle="1" w:styleId="12">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Words>
  <Characters>2160</Characters>
  <Lines>18</Lines>
  <Paragraphs>5</Paragraphs>
  <TotalTime>17</TotalTime>
  <ScaleCrop>false</ScaleCrop>
  <LinksUpToDate>false</LinksUpToDate>
  <CharactersWithSpaces>2533</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2022-03-04T02:30:00Z</dcterms:created>
  <dc:creator>PC</dc:creator>
  <cp:lastModifiedBy>PC</cp:lastModifiedBy>
  <dcterms:modified xsi:type="dcterms:W3CDTF">2022-03-09T08:37:47Z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40A169C14F34409BAF52F46343BAD57C</vt:lpwstr>
  </property>
</Properties>
</file>